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05" w:rsidRDefault="00B70D22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  <w:r>
        <w:rPr>
          <w:rFonts w:ascii="Arial" w:eastAsia="Times New Roman" w:hAnsi="Arial" w:cs="Arial"/>
          <w:sz w:val="34"/>
          <w:szCs w:val="34"/>
          <w:lang w:val="en-GB" w:eastAsia="pl-PL"/>
        </w:rPr>
        <w:t>Parallel workshop</w:t>
      </w:r>
      <w:r w:rsidR="00E541C1">
        <w:rPr>
          <w:rFonts w:ascii="Arial" w:eastAsia="Times New Roman" w:hAnsi="Arial" w:cs="Arial"/>
          <w:sz w:val="34"/>
          <w:szCs w:val="34"/>
          <w:lang w:val="en-GB" w:eastAsia="pl-PL"/>
        </w:rPr>
        <w:t>s</w:t>
      </w:r>
      <w:r>
        <w:rPr>
          <w:rFonts w:ascii="Arial" w:eastAsia="Times New Roman" w:hAnsi="Arial" w:cs="Arial"/>
          <w:sz w:val="34"/>
          <w:szCs w:val="34"/>
          <w:lang w:val="en-GB" w:eastAsia="pl-PL"/>
        </w:rPr>
        <w:t xml:space="preserve"> scenario</w:t>
      </w:r>
    </w:p>
    <w:p w:rsidR="006A5920" w:rsidRDefault="006A5920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  <w:r>
        <w:rPr>
          <w:rFonts w:ascii="Arial" w:eastAsia="Times New Roman" w:hAnsi="Arial" w:cs="Arial"/>
          <w:sz w:val="34"/>
          <w:szCs w:val="34"/>
          <w:lang w:val="en-GB" w:eastAsia="pl-PL"/>
        </w:rPr>
        <w:t>27</w:t>
      </w:r>
      <w:r w:rsidRPr="006A5920">
        <w:rPr>
          <w:rFonts w:ascii="Arial" w:eastAsia="Times New Roman" w:hAnsi="Arial" w:cs="Arial"/>
          <w:sz w:val="34"/>
          <w:szCs w:val="34"/>
          <w:vertAlign w:val="superscript"/>
          <w:lang w:val="en-GB" w:eastAsia="pl-PL"/>
        </w:rPr>
        <w:t>th</w:t>
      </w:r>
      <w:r>
        <w:rPr>
          <w:rFonts w:ascii="Arial" w:eastAsia="Times New Roman" w:hAnsi="Arial" w:cs="Arial"/>
          <w:sz w:val="34"/>
          <w:szCs w:val="34"/>
          <w:lang w:val="en-GB" w:eastAsia="pl-PL"/>
        </w:rPr>
        <w:t xml:space="preserve"> of June</w:t>
      </w:r>
    </w:p>
    <w:p w:rsidR="00A744A1" w:rsidRDefault="00A744A1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A744A1" w:rsidRDefault="00A744A1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44A1" w:rsidRPr="00272941" w:rsidTr="000042D9">
        <w:tc>
          <w:tcPr>
            <w:tcW w:w="2547" w:type="dxa"/>
          </w:tcPr>
          <w:p w:rsidR="000042D9" w:rsidRPr="003F3F88" w:rsidRDefault="000042D9" w:rsidP="000042D9">
            <w:pPr>
              <w:jc w:val="both"/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</w:pPr>
            <w:r w:rsidRPr="003F3F88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>Goal</w:t>
            </w:r>
            <w:r w:rsidR="0025778A" w:rsidRPr="003F3F88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>s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0042D9" w:rsidRPr="003F3F88" w:rsidRDefault="000042D9" w:rsidP="000042D9">
            <w:pPr>
              <w:jc w:val="both"/>
              <w:rPr>
                <w:rFonts w:eastAsia="Times New Roman" w:cs="Arial"/>
                <w:lang w:val="en-GB" w:eastAsia="pl-PL"/>
              </w:rPr>
            </w:pPr>
            <w:r w:rsidRPr="003F3F88">
              <w:rPr>
                <w:rFonts w:eastAsia="Times New Roman" w:cs="Arial"/>
                <w:lang w:val="en-GB" w:eastAsia="pl-PL"/>
              </w:rPr>
              <w:t>The main goals of workshop are as follows:</w:t>
            </w:r>
          </w:p>
          <w:p w:rsidR="000042D9" w:rsidRPr="003F3F88" w:rsidRDefault="000042D9" w:rsidP="000042D9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lang w:val="en-GB" w:eastAsia="pl-PL"/>
              </w:rPr>
            </w:pPr>
            <w:r w:rsidRPr="003F3F88">
              <w:rPr>
                <w:rFonts w:eastAsia="Times New Roman" w:cs="Arial"/>
                <w:lang w:val="en-GB" w:eastAsia="pl-PL"/>
              </w:rPr>
              <w:t>to enrich quantitative research which was conducted as an online survey on Part 1 ESG&amp;IQA in March,</w:t>
            </w:r>
          </w:p>
          <w:p w:rsidR="000042D9" w:rsidRPr="003F3F88" w:rsidRDefault="000042D9" w:rsidP="000042D9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lang w:val="en-GB" w:eastAsia="pl-PL"/>
              </w:rPr>
            </w:pPr>
            <w:r w:rsidRPr="003F3F88">
              <w:rPr>
                <w:rFonts w:eastAsia="Times New Roman" w:cs="Arial"/>
                <w:lang w:val="en-GB" w:eastAsia="pl-PL"/>
              </w:rPr>
              <w:t xml:space="preserve">to gather opinions from participants </w:t>
            </w:r>
            <w:r w:rsidRPr="003F3F88">
              <w:rPr>
                <w:lang w:val="en-GB"/>
              </w:rPr>
              <w:t>how each standards of Part 1 ESG is interpreted by HEIs, which aspects are unclear and how they are understood in HEIs’ practice, where more detailed guidelines</w:t>
            </w:r>
            <w:r w:rsidR="00E541C1">
              <w:rPr>
                <w:lang w:val="en-GB"/>
              </w:rPr>
              <w:t xml:space="preserve"> would be particularly helpful,</w:t>
            </w:r>
          </w:p>
          <w:p w:rsidR="000042D9" w:rsidRPr="003F3F88" w:rsidRDefault="000042D9" w:rsidP="000042D9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lang w:val="en-GB" w:eastAsia="pl-PL"/>
              </w:rPr>
            </w:pPr>
            <w:r w:rsidRPr="003F3F88">
              <w:rPr>
                <w:lang w:val="en-GB"/>
              </w:rPr>
              <w:t>to provide further input to Guide to IQA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4"/>
                <w:szCs w:val="34"/>
                <w:lang w:val="en-GB" w:eastAsia="pl-PL"/>
              </w:rPr>
            </w:pPr>
          </w:p>
        </w:tc>
      </w:tr>
      <w:tr w:rsidR="00A744A1" w:rsidRPr="00272941" w:rsidTr="000042D9">
        <w:tc>
          <w:tcPr>
            <w:tcW w:w="2547" w:type="dxa"/>
          </w:tcPr>
          <w:p w:rsidR="000042D9" w:rsidRPr="003F3F88" w:rsidRDefault="0025778A" w:rsidP="000042D9">
            <w:pPr>
              <w:jc w:val="both"/>
              <w:rPr>
                <w:b/>
                <w:sz w:val="32"/>
                <w:szCs w:val="32"/>
                <w:lang w:val="en-GB"/>
              </w:rPr>
            </w:pPr>
            <w:r w:rsidRPr="003F3F88">
              <w:rPr>
                <w:b/>
                <w:sz w:val="32"/>
                <w:szCs w:val="32"/>
                <w:lang w:val="en-GB"/>
              </w:rPr>
              <w:t>Form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334398" w:rsidRDefault="000042D9" w:rsidP="000042D9">
            <w:pPr>
              <w:jc w:val="both"/>
              <w:rPr>
                <w:lang w:val="en-GB"/>
              </w:rPr>
            </w:pPr>
            <w:r w:rsidRPr="003F3F88">
              <w:rPr>
                <w:lang w:val="en-GB"/>
              </w:rPr>
              <w:t xml:space="preserve">Interactive </w:t>
            </w:r>
            <w:r w:rsidR="0059366F">
              <w:rPr>
                <w:lang w:val="en-GB"/>
              </w:rPr>
              <w:t xml:space="preserve">parallel </w:t>
            </w:r>
            <w:r w:rsidRPr="003F3F88">
              <w:rPr>
                <w:lang w:val="en-GB"/>
              </w:rPr>
              <w:t>session</w:t>
            </w:r>
            <w:r w:rsidR="0059366F">
              <w:rPr>
                <w:lang w:val="en-GB"/>
              </w:rPr>
              <w:t>s</w:t>
            </w:r>
            <w:r w:rsidRPr="003F3F88">
              <w:rPr>
                <w:lang w:val="en-GB"/>
              </w:rPr>
              <w:t xml:space="preserve"> encouraging people to discussion and sharing their views on Part 1 ESG. The outline of the meeting will be focusing</w:t>
            </w:r>
            <w:r w:rsidR="004F7133">
              <w:rPr>
                <w:lang w:val="en-GB"/>
              </w:rPr>
              <w:t xml:space="preserve"> on pairs of standards which are as follows:</w:t>
            </w:r>
          </w:p>
          <w:p w:rsidR="000042D9" w:rsidRDefault="008076C2" w:rsidP="008076C2">
            <w:pPr>
              <w:pStyle w:val="Akapitzlist"/>
              <w:numPr>
                <w:ilvl w:val="1"/>
                <w:numId w:val="6"/>
              </w:numPr>
              <w:jc w:val="both"/>
              <w:rPr>
                <w:lang w:val="en-GB"/>
              </w:rPr>
            </w:pPr>
            <w:r w:rsidRPr="008076C2">
              <w:rPr>
                <w:lang w:val="en-GB"/>
              </w:rPr>
              <w:t>Policy for quality assurance and 1.10 Cyclical external quality assurance;</w:t>
            </w:r>
          </w:p>
          <w:p w:rsidR="008076C2" w:rsidRDefault="008076C2" w:rsidP="008076C2">
            <w:pPr>
              <w:pStyle w:val="Akapitzlist"/>
              <w:numPr>
                <w:ilvl w:val="1"/>
                <w:numId w:val="6"/>
              </w:numPr>
              <w:jc w:val="both"/>
              <w:rPr>
                <w:lang w:val="en-GB"/>
              </w:rPr>
            </w:pPr>
            <w:r w:rsidRPr="008076C2">
              <w:rPr>
                <w:lang w:val="en-GB"/>
              </w:rPr>
              <w:t xml:space="preserve"> Design and approval of programmes and 1.9 On-going and periodic review of programmes</w:t>
            </w:r>
          </w:p>
          <w:p w:rsidR="008076C2" w:rsidRDefault="008076C2" w:rsidP="008076C2">
            <w:pPr>
              <w:pStyle w:val="Akapitzlist"/>
              <w:numPr>
                <w:ilvl w:val="1"/>
                <w:numId w:val="6"/>
              </w:numPr>
              <w:jc w:val="both"/>
              <w:rPr>
                <w:lang w:val="en-GB"/>
              </w:rPr>
            </w:pPr>
            <w:r w:rsidRPr="008076C2">
              <w:rPr>
                <w:lang w:val="en-GB"/>
              </w:rPr>
              <w:t>Student centred learning, teaching and assessment and 1.4. Student admission, progression, recognition and certification</w:t>
            </w:r>
          </w:p>
          <w:p w:rsidR="008076C2" w:rsidRPr="008076C2" w:rsidRDefault="008076C2" w:rsidP="008076C2">
            <w:pPr>
              <w:jc w:val="both"/>
              <w:rPr>
                <w:lang w:val="en-GB"/>
              </w:rPr>
            </w:pPr>
            <w:r w:rsidRPr="008076C2">
              <w:rPr>
                <w:lang w:val="en-GB"/>
              </w:rPr>
              <w:t xml:space="preserve">1.7 </w:t>
            </w:r>
            <w:r>
              <w:rPr>
                <w:lang w:val="en-GB"/>
              </w:rPr>
              <w:t xml:space="preserve">  </w:t>
            </w:r>
            <w:r w:rsidRPr="008076C2">
              <w:rPr>
                <w:lang w:val="en-GB"/>
              </w:rPr>
              <w:t>Information management and 1.8 Public information</w:t>
            </w:r>
          </w:p>
          <w:p w:rsidR="00F754D3" w:rsidRPr="003F3F88" w:rsidRDefault="008076C2" w:rsidP="000042D9">
            <w:pPr>
              <w:jc w:val="both"/>
              <w:rPr>
                <w:lang w:val="en-GB"/>
              </w:rPr>
            </w:pPr>
            <w:r w:rsidRPr="008076C2">
              <w:rPr>
                <w:lang w:val="en-GB"/>
              </w:rPr>
              <w:t xml:space="preserve">1.5 </w:t>
            </w:r>
            <w:r>
              <w:rPr>
                <w:lang w:val="en-GB"/>
              </w:rPr>
              <w:t xml:space="preserve"> </w:t>
            </w:r>
            <w:r w:rsidRPr="008076C2">
              <w:rPr>
                <w:lang w:val="en-GB"/>
              </w:rPr>
              <w:t>Teaching staff and 1.6 Learning resources and student support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4"/>
                <w:szCs w:val="34"/>
                <w:lang w:val="en-GB" w:eastAsia="pl-PL"/>
              </w:rPr>
            </w:pPr>
          </w:p>
        </w:tc>
      </w:tr>
      <w:tr w:rsidR="0025778A" w:rsidRPr="00450921" w:rsidTr="0025778A">
        <w:tc>
          <w:tcPr>
            <w:tcW w:w="2547" w:type="dxa"/>
          </w:tcPr>
          <w:p w:rsidR="0025778A" w:rsidRPr="003F3F88" w:rsidRDefault="0025778A" w:rsidP="00554B7F">
            <w:pPr>
              <w:jc w:val="both"/>
              <w:rPr>
                <w:sz w:val="32"/>
                <w:szCs w:val="32"/>
                <w:lang w:val="en-GB"/>
              </w:rPr>
            </w:pPr>
            <w:r w:rsidRPr="003F3F88">
              <w:rPr>
                <w:b/>
                <w:sz w:val="32"/>
                <w:szCs w:val="32"/>
                <w:lang w:val="en-GB"/>
              </w:rPr>
              <w:t>Time</w:t>
            </w:r>
          </w:p>
          <w:p w:rsidR="0025778A" w:rsidRPr="003F3F88" w:rsidRDefault="0025778A" w:rsidP="00554B7F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25778A" w:rsidRPr="003F3F88" w:rsidRDefault="00450921" w:rsidP="00554B7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2-3 rounds for </w:t>
            </w:r>
            <w:r w:rsidR="0025778A" w:rsidRPr="003F3F88">
              <w:rPr>
                <w:lang w:val="en-GB"/>
              </w:rPr>
              <w:t>45 minutes</w:t>
            </w:r>
            <w:r w:rsidR="00812407">
              <w:rPr>
                <w:lang w:val="en-GB"/>
              </w:rPr>
              <w:t xml:space="preserve"> each session</w:t>
            </w:r>
            <w:r w:rsidR="00B73CD6">
              <w:rPr>
                <w:lang w:val="en-GB"/>
              </w:rPr>
              <w:t xml:space="preserve"> </w:t>
            </w:r>
          </w:p>
          <w:p w:rsidR="0025778A" w:rsidRPr="003F3F88" w:rsidRDefault="0025778A" w:rsidP="00554B7F">
            <w:pPr>
              <w:jc w:val="center"/>
              <w:rPr>
                <w:rFonts w:eastAsia="Times New Roman" w:cs="Arial"/>
                <w:sz w:val="34"/>
                <w:szCs w:val="34"/>
                <w:lang w:val="en-GB" w:eastAsia="pl-PL"/>
              </w:rPr>
            </w:pPr>
          </w:p>
        </w:tc>
      </w:tr>
      <w:tr w:rsidR="00A744A1" w:rsidRPr="00272941" w:rsidTr="000042D9">
        <w:tc>
          <w:tcPr>
            <w:tcW w:w="2547" w:type="dxa"/>
          </w:tcPr>
          <w:p w:rsidR="000042D9" w:rsidRPr="003F3F88" w:rsidRDefault="0025778A" w:rsidP="000042D9">
            <w:pPr>
              <w:jc w:val="both"/>
              <w:rPr>
                <w:b/>
                <w:sz w:val="32"/>
                <w:szCs w:val="32"/>
                <w:lang w:val="en-GB"/>
              </w:rPr>
            </w:pPr>
            <w:r w:rsidRPr="003F3F88">
              <w:rPr>
                <w:b/>
                <w:sz w:val="32"/>
                <w:szCs w:val="32"/>
                <w:lang w:val="en-GB"/>
              </w:rPr>
              <w:t>Attendees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0042D9" w:rsidRPr="00B73CD6" w:rsidRDefault="000042D9" w:rsidP="00B73CD6">
            <w:pPr>
              <w:autoSpaceDE w:val="0"/>
              <w:autoSpaceDN w:val="0"/>
              <w:adjustRightInd w:val="0"/>
              <w:jc w:val="both"/>
              <w:rPr>
                <w:rFonts w:ascii="Futura-Book" w:hAnsi="Futura-Book" w:cs="Futura-Book"/>
                <w:sz w:val="20"/>
                <w:szCs w:val="20"/>
                <w:lang w:val="en-GB"/>
              </w:rPr>
            </w:pPr>
            <w:r w:rsidRPr="003F3F88">
              <w:rPr>
                <w:lang w:val="en-GB"/>
              </w:rPr>
              <w:t>People who filled in the survey questionnaire on Part 1 ESG &amp; IQA - ca 26 representatives of HEIs (coordinators for IQA, heads of departments, executives etc.), most of them from Poland.</w:t>
            </w:r>
            <w:r w:rsidR="0025778A" w:rsidRPr="003F3F88">
              <w:rPr>
                <w:lang w:val="en-GB"/>
              </w:rPr>
              <w:t xml:space="preserve"> Attendee</w:t>
            </w:r>
            <w:r w:rsidR="00B73CD6">
              <w:rPr>
                <w:lang w:val="en-GB"/>
              </w:rPr>
              <w:t>s will be divided in 2-3 groups</w:t>
            </w:r>
            <w:r w:rsidR="00B73CD6" w:rsidRPr="00B73CD6">
              <w:rPr>
                <w:rFonts w:ascii="Futura-Book" w:hAnsi="Futura-Book" w:cs="Futura-Book"/>
                <w:sz w:val="20"/>
                <w:szCs w:val="20"/>
                <w:lang w:val="en-GB"/>
              </w:rPr>
              <w:t xml:space="preserve"> to give each participant</w:t>
            </w:r>
            <w:r w:rsidR="00B73CD6">
              <w:rPr>
                <w:rFonts w:ascii="Futura-Book" w:hAnsi="Futura-Book" w:cs="Futura-Book"/>
                <w:sz w:val="20"/>
                <w:szCs w:val="20"/>
                <w:lang w:val="en-GB"/>
              </w:rPr>
              <w:t xml:space="preserve"> </w:t>
            </w:r>
            <w:r w:rsidR="00B73CD6" w:rsidRPr="00B73CD6">
              <w:rPr>
                <w:rFonts w:ascii="Futura-Book" w:hAnsi="Futura-Book" w:cs="Futura-Book"/>
                <w:sz w:val="20"/>
                <w:szCs w:val="20"/>
                <w:lang w:val="en-GB"/>
              </w:rPr>
              <w:t>a chance to discuss and bring forwards ones view.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4"/>
                <w:szCs w:val="34"/>
                <w:lang w:val="en-GB" w:eastAsia="pl-PL"/>
              </w:rPr>
            </w:pPr>
          </w:p>
        </w:tc>
      </w:tr>
      <w:tr w:rsidR="00A744A1" w:rsidRPr="00272941" w:rsidTr="000042D9">
        <w:tc>
          <w:tcPr>
            <w:tcW w:w="2547" w:type="dxa"/>
          </w:tcPr>
          <w:p w:rsidR="000042D9" w:rsidRPr="003F3F88" w:rsidRDefault="000042D9" w:rsidP="000042D9">
            <w:pPr>
              <w:jc w:val="both"/>
              <w:rPr>
                <w:sz w:val="32"/>
                <w:szCs w:val="32"/>
                <w:lang w:val="en-GB"/>
              </w:rPr>
            </w:pPr>
            <w:r w:rsidRPr="003F3F88">
              <w:rPr>
                <w:b/>
                <w:sz w:val="32"/>
                <w:szCs w:val="32"/>
                <w:lang w:val="en-GB"/>
              </w:rPr>
              <w:t>Moderator</w:t>
            </w:r>
            <w:r w:rsidR="0059366F">
              <w:rPr>
                <w:b/>
                <w:sz w:val="32"/>
                <w:szCs w:val="32"/>
                <w:lang w:val="en-GB"/>
              </w:rPr>
              <w:t>s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0042D9" w:rsidRPr="003F3F88" w:rsidRDefault="008D161D" w:rsidP="000042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 people dealing with one pair of standards. </w:t>
            </w:r>
            <w:r w:rsidR="0059366F">
              <w:rPr>
                <w:lang w:val="en-GB"/>
              </w:rPr>
              <w:t>One of their task</w:t>
            </w:r>
            <w:r w:rsidR="0059366F" w:rsidRPr="003F3F88">
              <w:rPr>
                <w:lang w:val="en-GB"/>
              </w:rPr>
              <w:t xml:space="preserve"> is to establish a dialogue aiming at moderating the participants to develop theirs answers related to a specific focus question and specific area of Part 1 ESG</w:t>
            </w:r>
            <w:r w:rsidR="0059366F">
              <w:rPr>
                <w:lang w:val="en-GB"/>
              </w:rPr>
              <w:t>. The other responsibility is to prepare short report on findings</w:t>
            </w:r>
            <w:r w:rsidR="00F754D3">
              <w:rPr>
                <w:lang w:val="en-GB"/>
              </w:rPr>
              <w:t xml:space="preserve"> from workshops.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4"/>
                <w:szCs w:val="34"/>
                <w:lang w:val="en-GB" w:eastAsia="pl-PL"/>
              </w:rPr>
            </w:pPr>
          </w:p>
        </w:tc>
      </w:tr>
      <w:tr w:rsidR="00A744A1" w:rsidRPr="00272941" w:rsidTr="000042D9">
        <w:tc>
          <w:tcPr>
            <w:tcW w:w="2547" w:type="dxa"/>
          </w:tcPr>
          <w:p w:rsidR="000042D9" w:rsidRPr="003F3F88" w:rsidRDefault="000042D9" w:rsidP="000042D9">
            <w:pPr>
              <w:jc w:val="both"/>
              <w:rPr>
                <w:b/>
                <w:sz w:val="32"/>
                <w:szCs w:val="32"/>
                <w:lang w:val="en-GB"/>
              </w:rPr>
            </w:pPr>
            <w:r w:rsidRPr="003F3F88">
              <w:rPr>
                <w:b/>
                <w:sz w:val="32"/>
                <w:szCs w:val="32"/>
                <w:lang w:val="en-GB"/>
              </w:rPr>
              <w:t>Focus questions</w:t>
            </w:r>
          </w:p>
          <w:p w:rsidR="00A744A1" w:rsidRPr="003F3F88" w:rsidRDefault="00A744A1" w:rsidP="00B70D22">
            <w:pPr>
              <w:jc w:val="center"/>
              <w:rPr>
                <w:rFonts w:eastAsia="Times New Roman" w:cs="Arial"/>
                <w:sz w:val="32"/>
                <w:szCs w:val="32"/>
                <w:lang w:val="en-GB" w:eastAsia="pl-PL"/>
              </w:rPr>
            </w:pPr>
          </w:p>
        </w:tc>
        <w:tc>
          <w:tcPr>
            <w:tcW w:w="6515" w:type="dxa"/>
          </w:tcPr>
          <w:p w:rsidR="000042D9" w:rsidRPr="003F3F88" w:rsidRDefault="000042D9" w:rsidP="000042D9">
            <w:pPr>
              <w:jc w:val="both"/>
              <w:rPr>
                <w:lang w:val="en-GB"/>
              </w:rPr>
            </w:pPr>
            <w:r w:rsidRPr="003F3F88">
              <w:rPr>
                <w:lang w:val="en-GB"/>
              </w:rPr>
              <w:t>Focus questions</w:t>
            </w:r>
            <w:r w:rsidR="00812407">
              <w:rPr>
                <w:lang w:val="en-GB"/>
              </w:rPr>
              <w:t xml:space="preserve"> relate </w:t>
            </w:r>
            <w:r w:rsidR="0025778A" w:rsidRPr="003F3F88">
              <w:rPr>
                <w:lang w:val="en-GB"/>
              </w:rPr>
              <w:t>to the goals</w:t>
            </w:r>
            <w:r w:rsidRPr="003F3F88">
              <w:rPr>
                <w:lang w:val="en-GB"/>
              </w:rPr>
              <w:t xml:space="preserve"> and were developed commonly by the project partners </w:t>
            </w:r>
            <w:r w:rsidR="0025778A" w:rsidRPr="003F3F88">
              <w:rPr>
                <w:lang w:val="en-GB"/>
              </w:rPr>
              <w:t xml:space="preserve">As the time </w:t>
            </w:r>
            <w:r w:rsidR="008201C8">
              <w:rPr>
                <w:lang w:val="en-GB"/>
              </w:rPr>
              <w:t>of</w:t>
            </w:r>
            <w:r w:rsidRPr="003F3F88">
              <w:rPr>
                <w:lang w:val="en-GB"/>
              </w:rPr>
              <w:t xml:space="preserve"> session </w:t>
            </w:r>
            <w:r w:rsidR="00554B7F">
              <w:rPr>
                <w:lang w:val="en-GB"/>
              </w:rPr>
              <w:t>is quite</w:t>
            </w:r>
            <w:r w:rsidR="008201C8">
              <w:rPr>
                <w:lang w:val="en-GB"/>
              </w:rPr>
              <w:t xml:space="preserve"> short</w:t>
            </w:r>
            <w:r w:rsidRPr="003F3F88">
              <w:rPr>
                <w:lang w:val="en-GB"/>
              </w:rPr>
              <w:t xml:space="preserve"> </w:t>
            </w:r>
            <w:r w:rsidR="003F3F88">
              <w:rPr>
                <w:lang w:val="en-GB"/>
              </w:rPr>
              <w:t>it seems</w:t>
            </w:r>
            <w:r w:rsidR="008201C8">
              <w:rPr>
                <w:lang w:val="en-GB"/>
              </w:rPr>
              <w:t xml:space="preserve"> of utmost importance to receive answers on following questions:</w:t>
            </w:r>
          </w:p>
          <w:p w:rsidR="000042D9" w:rsidRPr="003F3F88" w:rsidRDefault="000042D9" w:rsidP="001B7FA5">
            <w:pPr>
              <w:pStyle w:val="Akapitzlist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3F3F88">
              <w:rPr>
                <w:lang w:val="en-GB"/>
              </w:rPr>
              <w:t>What is the</w:t>
            </w:r>
            <w:r w:rsidR="009E013F">
              <w:rPr>
                <w:lang w:val="en-GB"/>
              </w:rPr>
              <w:t xml:space="preserve"> most important/</w:t>
            </w:r>
            <w:r w:rsidRPr="003F3F88">
              <w:rPr>
                <w:lang w:val="en-GB"/>
              </w:rPr>
              <w:t>crucial part of</w:t>
            </w:r>
            <w:r w:rsidR="003F3F88">
              <w:rPr>
                <w:lang w:val="en-GB"/>
              </w:rPr>
              <w:t xml:space="preserve"> given standard</w:t>
            </w:r>
            <w:r w:rsidR="00554B7F">
              <w:rPr>
                <w:lang w:val="en-GB"/>
              </w:rPr>
              <w:t>/</w:t>
            </w:r>
            <w:r w:rsidR="009E013F">
              <w:rPr>
                <w:lang w:val="en-GB"/>
              </w:rPr>
              <w:t xml:space="preserve">or </w:t>
            </w:r>
            <w:r w:rsidR="00554B7F">
              <w:rPr>
                <w:lang w:val="en-GB"/>
              </w:rPr>
              <w:t>guidelines</w:t>
            </w:r>
            <w:r w:rsidR="003F3F88">
              <w:rPr>
                <w:lang w:val="en-GB"/>
              </w:rPr>
              <w:t xml:space="preserve"> having the </w:t>
            </w:r>
            <w:r w:rsidRPr="003F3F88">
              <w:rPr>
                <w:lang w:val="en-GB"/>
              </w:rPr>
              <w:t>potential impact on the quality</w:t>
            </w:r>
            <w:r w:rsidR="00272941">
              <w:rPr>
                <w:lang w:val="en-GB"/>
              </w:rPr>
              <w:t xml:space="preserve"> enhancement</w:t>
            </w:r>
            <w:r w:rsidRPr="003F3F88">
              <w:rPr>
                <w:lang w:val="en-GB"/>
              </w:rPr>
              <w:t>/</w:t>
            </w:r>
            <w:r w:rsidR="003F3F88">
              <w:rPr>
                <w:lang w:val="en-GB"/>
              </w:rPr>
              <w:t>or</w:t>
            </w:r>
            <w:r w:rsidR="00B73CD6">
              <w:rPr>
                <w:lang w:val="en-GB"/>
              </w:rPr>
              <w:t xml:space="preserve"> on</w:t>
            </w:r>
            <w:r w:rsidR="00272941">
              <w:rPr>
                <w:lang w:val="en-GB"/>
              </w:rPr>
              <w:t xml:space="preserve"> the development of quality culture</w:t>
            </w:r>
            <w:r w:rsidRPr="003F3F88">
              <w:rPr>
                <w:lang w:val="en-GB"/>
              </w:rPr>
              <w:t>?</w:t>
            </w:r>
          </w:p>
          <w:p w:rsidR="000042D9" w:rsidRPr="003F3F88" w:rsidRDefault="000042D9" w:rsidP="001B7FA5">
            <w:pPr>
              <w:pStyle w:val="Akapitzlist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3F3F88">
              <w:rPr>
                <w:lang w:val="en-GB"/>
              </w:rPr>
              <w:lastRenderedPageBreak/>
              <w:t>What are the main obstacles in the i</w:t>
            </w:r>
            <w:r w:rsidR="003F3F88">
              <w:rPr>
                <w:lang w:val="en-GB"/>
              </w:rPr>
              <w:t>mplementation of given standard and why? Are they derived from the content of the standard?</w:t>
            </w:r>
          </w:p>
          <w:p w:rsidR="000042D9" w:rsidRPr="008201C8" w:rsidRDefault="000042D9" w:rsidP="001B7FA5">
            <w:pPr>
              <w:pStyle w:val="Akapitzlist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3F3F88">
              <w:rPr>
                <w:lang w:val="en-GB"/>
              </w:rPr>
              <w:t xml:space="preserve">What </w:t>
            </w:r>
            <w:r w:rsidR="003F3F88">
              <w:rPr>
                <w:lang w:val="en-GB"/>
              </w:rPr>
              <w:t xml:space="preserve">are the </w:t>
            </w:r>
            <w:r w:rsidRPr="003F3F88">
              <w:rPr>
                <w:lang w:val="en-GB"/>
              </w:rPr>
              <w:t>needs</w:t>
            </w:r>
            <w:r w:rsidR="0025778A" w:rsidRPr="003F3F88">
              <w:rPr>
                <w:lang w:val="en-GB"/>
              </w:rPr>
              <w:t xml:space="preserve"> for</w:t>
            </w:r>
            <w:r w:rsidRPr="003F3F88">
              <w:rPr>
                <w:lang w:val="en-GB"/>
              </w:rPr>
              <w:t xml:space="preserve"> further interpretation</w:t>
            </w:r>
            <w:r w:rsidR="0025778A" w:rsidRPr="003F3F88">
              <w:rPr>
                <w:lang w:val="en-GB"/>
              </w:rPr>
              <w:t xml:space="preserve"> of given standards</w:t>
            </w:r>
            <w:r w:rsidR="00B26788">
              <w:rPr>
                <w:lang w:val="en-GB"/>
              </w:rPr>
              <w:t>?</w:t>
            </w:r>
            <w:r w:rsidR="008201C8">
              <w:rPr>
                <w:lang w:val="en-GB"/>
              </w:rPr>
              <w:t xml:space="preserve">  </w:t>
            </w:r>
            <w:r w:rsidR="00B26788" w:rsidRPr="008201C8">
              <w:rPr>
                <w:lang w:val="en-GB"/>
              </w:rPr>
              <w:t xml:space="preserve">Which aspect </w:t>
            </w:r>
            <w:r w:rsidR="008201C8" w:rsidRPr="008201C8">
              <w:rPr>
                <w:lang w:val="en-GB"/>
              </w:rPr>
              <w:t xml:space="preserve">of standards </w:t>
            </w:r>
            <w:r w:rsidR="00B26788" w:rsidRPr="008201C8">
              <w:rPr>
                <w:lang w:val="en-GB"/>
              </w:rPr>
              <w:t>are unclear</w:t>
            </w:r>
            <w:r w:rsidR="008201C8" w:rsidRPr="008201C8">
              <w:rPr>
                <w:lang w:val="en-GB"/>
              </w:rPr>
              <w:t xml:space="preserve"> for HEI and why</w:t>
            </w:r>
            <w:r w:rsidR="003F3F88" w:rsidRPr="008201C8">
              <w:rPr>
                <w:lang w:val="en-GB"/>
              </w:rPr>
              <w:t>?</w:t>
            </w:r>
          </w:p>
          <w:p w:rsidR="003F3F88" w:rsidRPr="003F3F88" w:rsidRDefault="0059366F" w:rsidP="001B7FA5">
            <w:pPr>
              <w:pStyle w:val="Akapitzlist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Do you identify any good practice in relation to a given standard?</w:t>
            </w:r>
            <w:r w:rsidR="001B7FA5">
              <w:rPr>
                <w:lang w:val="en-GB"/>
              </w:rPr>
              <w:t xml:space="preserve"> </w:t>
            </w:r>
          </w:p>
          <w:p w:rsidR="00A744A1" w:rsidRPr="003F3F88" w:rsidRDefault="00F754D3" w:rsidP="00272941">
            <w:pPr>
              <w:jc w:val="both"/>
              <w:rPr>
                <w:rFonts w:eastAsia="Times New Roman" w:cs="Arial"/>
                <w:lang w:val="en-GB" w:eastAsia="pl-PL"/>
              </w:rPr>
            </w:pPr>
            <w:r>
              <w:rPr>
                <w:rFonts w:eastAsia="Times New Roman" w:cs="Arial"/>
                <w:lang w:val="en-GB" w:eastAsia="pl-PL"/>
              </w:rPr>
              <w:t>Key q</w:t>
            </w:r>
            <w:r w:rsidR="003E6D45" w:rsidRPr="003F3F88">
              <w:rPr>
                <w:rFonts w:eastAsia="Times New Roman" w:cs="Arial"/>
                <w:lang w:val="en-GB" w:eastAsia="pl-PL"/>
              </w:rPr>
              <w:t>uestions</w:t>
            </w:r>
            <w:r w:rsidR="00272941">
              <w:rPr>
                <w:rFonts w:eastAsia="Times New Roman" w:cs="Arial"/>
                <w:lang w:val="en-GB" w:eastAsia="pl-PL"/>
              </w:rPr>
              <w:t xml:space="preserve"> together with handouts</w:t>
            </w:r>
            <w:r w:rsidR="0025778A" w:rsidRPr="003F3F88">
              <w:rPr>
                <w:rFonts w:eastAsia="Times New Roman" w:cs="Arial"/>
                <w:lang w:val="en-GB" w:eastAsia="pl-PL"/>
              </w:rPr>
              <w:t xml:space="preserve"> will be sent to participants prior to the meeting</w:t>
            </w:r>
            <w:r w:rsidR="003E6D45">
              <w:rPr>
                <w:rFonts w:eastAsia="Times New Roman" w:cs="Arial"/>
                <w:lang w:val="en-GB" w:eastAsia="pl-PL"/>
              </w:rPr>
              <w:t xml:space="preserve"> in order to</w:t>
            </w:r>
            <w:r w:rsidR="00272941">
              <w:rPr>
                <w:rFonts w:eastAsia="Times New Roman" w:cs="Arial"/>
                <w:lang w:val="en-GB" w:eastAsia="pl-PL"/>
              </w:rPr>
              <w:t xml:space="preserve"> make discussion more efficient. Besides participants will be requested to write about their relevant </w:t>
            </w:r>
            <w:bookmarkStart w:id="0" w:name="_GoBack"/>
            <w:bookmarkEnd w:id="0"/>
            <w:r w:rsidR="00272941">
              <w:rPr>
                <w:rFonts w:eastAsia="Times New Roman" w:cs="Arial"/>
                <w:lang w:val="en-GB" w:eastAsia="pl-PL"/>
              </w:rPr>
              <w:t>needs and expectations for interpretation of each standard.</w:t>
            </w:r>
          </w:p>
        </w:tc>
      </w:tr>
      <w:tr w:rsidR="00A744A1" w:rsidRPr="00272941" w:rsidTr="000042D9">
        <w:tc>
          <w:tcPr>
            <w:tcW w:w="2547" w:type="dxa"/>
          </w:tcPr>
          <w:p w:rsidR="00A744A1" w:rsidRPr="003F3F88" w:rsidRDefault="003E6D45" w:rsidP="0025778A">
            <w:pPr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lastRenderedPageBreak/>
              <w:t>Additional</w:t>
            </w:r>
            <w:r w:rsidR="0025778A" w:rsidRPr="003F3F88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 xml:space="preserve"> </w:t>
            </w:r>
            <w:r w:rsidRPr="003F3F88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>questions</w:t>
            </w:r>
          </w:p>
        </w:tc>
        <w:tc>
          <w:tcPr>
            <w:tcW w:w="6515" w:type="dxa"/>
          </w:tcPr>
          <w:p w:rsidR="00A744A1" w:rsidRPr="003F3F88" w:rsidRDefault="0025778A" w:rsidP="0025778A">
            <w:pPr>
              <w:rPr>
                <w:rFonts w:eastAsia="Times New Roman" w:cs="Arial"/>
                <w:lang w:val="en-GB" w:eastAsia="pl-PL"/>
              </w:rPr>
            </w:pPr>
            <w:r w:rsidRPr="003F3F88">
              <w:rPr>
                <w:rFonts w:eastAsia="Times New Roman" w:cs="Arial"/>
                <w:lang w:val="en-GB" w:eastAsia="pl-PL"/>
              </w:rPr>
              <w:t xml:space="preserve">Further </w:t>
            </w:r>
            <w:r w:rsidR="003E6D45" w:rsidRPr="003F3F88">
              <w:rPr>
                <w:rFonts w:eastAsia="Times New Roman" w:cs="Arial"/>
                <w:lang w:val="en-GB" w:eastAsia="pl-PL"/>
              </w:rPr>
              <w:t>questions</w:t>
            </w:r>
            <w:r w:rsidRPr="003F3F88">
              <w:rPr>
                <w:rFonts w:eastAsia="Times New Roman" w:cs="Arial"/>
                <w:lang w:val="en-GB" w:eastAsia="pl-PL"/>
              </w:rPr>
              <w:t xml:space="preserve"> should </w:t>
            </w:r>
            <w:r w:rsidR="003F3F88" w:rsidRPr="003F3F88">
              <w:rPr>
                <w:rFonts w:eastAsia="Times New Roman" w:cs="Arial"/>
                <w:lang w:val="en-GB" w:eastAsia="pl-PL"/>
              </w:rPr>
              <w:t xml:space="preserve">result from discussion </w:t>
            </w:r>
            <w:r w:rsidR="003E6D45">
              <w:rPr>
                <w:rFonts w:eastAsia="Times New Roman" w:cs="Arial"/>
                <w:lang w:val="en-GB" w:eastAsia="pl-PL"/>
              </w:rPr>
              <w:t>with participants and will be</w:t>
            </w:r>
            <w:r w:rsidR="003F3F88" w:rsidRPr="003F3F88">
              <w:rPr>
                <w:rFonts w:eastAsia="Times New Roman" w:cs="Arial"/>
                <w:lang w:val="en-GB" w:eastAsia="pl-PL"/>
              </w:rPr>
              <w:t xml:space="preserve"> developed by moderators in the course of workshop</w:t>
            </w:r>
            <w:r w:rsidR="008201C8">
              <w:rPr>
                <w:rFonts w:eastAsia="Times New Roman" w:cs="Arial"/>
                <w:lang w:val="en-GB" w:eastAsia="pl-PL"/>
              </w:rPr>
              <w:t>.</w:t>
            </w:r>
            <w:r w:rsidR="00E13D1E">
              <w:rPr>
                <w:rFonts w:eastAsia="Times New Roman" w:cs="Arial"/>
                <w:lang w:val="en-GB" w:eastAsia="pl-PL"/>
              </w:rPr>
              <w:t xml:space="preserve"> Their role </w:t>
            </w:r>
            <w:r w:rsidR="008201C8">
              <w:rPr>
                <w:rFonts w:eastAsia="Times New Roman" w:cs="Arial"/>
                <w:lang w:val="en-GB" w:eastAsia="pl-PL"/>
              </w:rPr>
              <w:t xml:space="preserve"> should be rather supportive to the main </w:t>
            </w:r>
            <w:r w:rsidR="00E13D1E">
              <w:rPr>
                <w:rFonts w:eastAsia="Times New Roman" w:cs="Arial"/>
                <w:lang w:val="en-GB" w:eastAsia="pl-PL"/>
              </w:rPr>
              <w:t>questions than create the other issues.</w:t>
            </w:r>
          </w:p>
        </w:tc>
      </w:tr>
      <w:tr w:rsidR="00A744A1" w:rsidRPr="00272941" w:rsidTr="000042D9">
        <w:tc>
          <w:tcPr>
            <w:tcW w:w="2547" w:type="dxa"/>
          </w:tcPr>
          <w:p w:rsidR="00A744A1" w:rsidRPr="001B7FA5" w:rsidRDefault="00101DC5" w:rsidP="001B7FA5">
            <w:pPr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</w:pPr>
            <w:r w:rsidRPr="001B7FA5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>After workshop</w:t>
            </w:r>
          </w:p>
        </w:tc>
        <w:tc>
          <w:tcPr>
            <w:tcW w:w="6515" w:type="dxa"/>
          </w:tcPr>
          <w:p w:rsidR="00A744A1" w:rsidRPr="001B7FA5" w:rsidRDefault="001B7FA5" w:rsidP="001B7FA5">
            <w:pPr>
              <w:jc w:val="both"/>
              <w:rPr>
                <w:rFonts w:eastAsia="Times New Roman" w:cs="Arial"/>
                <w:lang w:val="en-GB" w:eastAsia="pl-PL"/>
              </w:rPr>
            </w:pPr>
            <w:r w:rsidRPr="00F633C1">
              <w:rPr>
                <w:rFonts w:eastAsia="Times New Roman" w:cs="Arial"/>
                <w:lang w:val="en-GB" w:eastAsia="pl-PL"/>
              </w:rPr>
              <w:t>Making findings</w:t>
            </w:r>
            <w:r>
              <w:rPr>
                <w:rFonts w:eastAsia="Times New Roman" w:cs="Arial"/>
                <w:lang w:val="en-GB" w:eastAsia="pl-PL"/>
              </w:rPr>
              <w:t xml:space="preserve"> of workshops</w:t>
            </w:r>
            <w:r w:rsidRPr="0022259E">
              <w:rPr>
                <w:rFonts w:eastAsia="Times New Roman" w:cs="Arial"/>
                <w:lang w:val="en-GB" w:eastAsia="pl-PL"/>
              </w:rPr>
              <w:t xml:space="preserve"> ava</w:t>
            </w:r>
            <w:r w:rsidRPr="00F633C1">
              <w:rPr>
                <w:rFonts w:eastAsia="Times New Roman" w:cs="Arial"/>
                <w:lang w:val="en-GB" w:eastAsia="pl-PL"/>
              </w:rPr>
              <w:t>ilable to</w:t>
            </w:r>
            <w:r>
              <w:rPr>
                <w:rFonts w:eastAsia="Times New Roman" w:cs="Arial"/>
                <w:lang w:val="en-GB" w:eastAsia="pl-PL"/>
              </w:rPr>
              <w:t xml:space="preserve"> the</w:t>
            </w:r>
            <w:r w:rsidRPr="00F633C1">
              <w:rPr>
                <w:rFonts w:eastAsia="Times New Roman" w:cs="Arial"/>
                <w:lang w:val="en-GB" w:eastAsia="pl-PL"/>
              </w:rPr>
              <w:t xml:space="preserve"> others </w:t>
            </w:r>
            <w:r w:rsidRPr="0022259E">
              <w:rPr>
                <w:rFonts w:eastAsia="Times New Roman" w:cs="Arial"/>
                <w:lang w:val="en-GB" w:eastAsia="pl-PL"/>
              </w:rPr>
              <w:t xml:space="preserve">through </w:t>
            </w:r>
            <w:r>
              <w:rPr>
                <w:rFonts w:eastAsia="Times New Roman" w:cs="Arial"/>
                <w:lang w:val="en-GB" w:eastAsia="pl-PL"/>
              </w:rPr>
              <w:t xml:space="preserve">the </w:t>
            </w:r>
            <w:r w:rsidRPr="00F633C1">
              <w:rPr>
                <w:rFonts w:eastAsia="Times New Roman" w:cs="Arial"/>
                <w:lang w:val="en-GB" w:eastAsia="pl-PL"/>
              </w:rPr>
              <w:t>plena</w:t>
            </w:r>
            <w:r w:rsidR="008D161D">
              <w:rPr>
                <w:rFonts w:eastAsia="Times New Roman" w:cs="Arial"/>
                <w:lang w:val="en-GB" w:eastAsia="pl-PL"/>
              </w:rPr>
              <w:t>ry session – short reports</w:t>
            </w:r>
            <w:r w:rsidRPr="00F633C1">
              <w:rPr>
                <w:rFonts w:eastAsia="Times New Roman" w:cs="Arial"/>
                <w:lang w:val="en-GB" w:eastAsia="pl-PL"/>
              </w:rPr>
              <w:t xml:space="preserve"> of moderators</w:t>
            </w:r>
          </w:p>
        </w:tc>
      </w:tr>
      <w:tr w:rsidR="00A744A1" w:rsidRPr="00272941" w:rsidTr="000042D9">
        <w:tc>
          <w:tcPr>
            <w:tcW w:w="2547" w:type="dxa"/>
          </w:tcPr>
          <w:p w:rsidR="00A744A1" w:rsidRPr="001B7FA5" w:rsidRDefault="001B7FA5" w:rsidP="001B7FA5">
            <w:pPr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</w:pPr>
            <w:r w:rsidRPr="001B7FA5">
              <w:rPr>
                <w:rFonts w:eastAsia="Times New Roman" w:cs="Arial"/>
                <w:b/>
                <w:sz w:val="32"/>
                <w:szCs w:val="32"/>
                <w:lang w:val="en-GB" w:eastAsia="pl-PL"/>
              </w:rPr>
              <w:t xml:space="preserve">Sustainability </w:t>
            </w:r>
          </w:p>
        </w:tc>
        <w:tc>
          <w:tcPr>
            <w:tcW w:w="6515" w:type="dxa"/>
          </w:tcPr>
          <w:p w:rsidR="00A744A1" w:rsidRPr="001B7FA5" w:rsidRDefault="001B7FA5" w:rsidP="008D161D">
            <w:pPr>
              <w:jc w:val="both"/>
              <w:rPr>
                <w:rFonts w:eastAsia="Times New Roman" w:cs="Arial"/>
                <w:lang w:val="en-GB" w:eastAsia="pl-PL"/>
              </w:rPr>
            </w:pPr>
            <w:r>
              <w:rPr>
                <w:rFonts w:eastAsia="Times New Roman" w:cs="Arial"/>
                <w:lang w:val="en-GB" w:eastAsia="pl-PL"/>
              </w:rPr>
              <w:t xml:space="preserve">Open </w:t>
            </w:r>
            <w:r w:rsidRPr="001B7FA5">
              <w:rPr>
                <w:rFonts w:eastAsia="Times New Roman" w:cs="Arial"/>
                <w:lang w:val="en-GB" w:eastAsia="pl-PL"/>
              </w:rPr>
              <w:t xml:space="preserve">box on project webpage with special attention </w:t>
            </w:r>
            <w:r>
              <w:rPr>
                <w:rFonts w:eastAsia="Times New Roman" w:cs="Arial"/>
                <w:lang w:val="en-GB" w:eastAsia="pl-PL"/>
              </w:rPr>
              <w:t>to further interpretation needs</w:t>
            </w:r>
            <w:r w:rsidR="008D161D">
              <w:rPr>
                <w:rFonts w:eastAsia="Times New Roman" w:cs="Arial"/>
                <w:lang w:val="en-GB" w:eastAsia="pl-PL"/>
              </w:rPr>
              <w:t xml:space="preserve"> of Part 1 ESG</w:t>
            </w:r>
          </w:p>
        </w:tc>
      </w:tr>
    </w:tbl>
    <w:p w:rsidR="00A744A1" w:rsidRDefault="00A744A1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B70D22" w:rsidRDefault="00B70D22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292FFB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  <w:r>
        <w:rPr>
          <w:rFonts w:ascii="Arial" w:eastAsia="Times New Roman" w:hAnsi="Arial" w:cs="Arial"/>
          <w:sz w:val="34"/>
          <w:szCs w:val="34"/>
          <w:lang w:val="en-GB" w:eastAsia="pl-PL"/>
        </w:rPr>
        <w:t>Moderators check sheet</w:t>
      </w: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Default="00F754D3" w:rsidP="00B70D22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val="en-GB" w:eastAsia="pl-PL"/>
        </w:rPr>
      </w:pPr>
    </w:p>
    <w:p w:rsidR="00F754D3" w:rsidRPr="003F3F88" w:rsidRDefault="00F754D3" w:rsidP="00F754D3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3F3F88">
        <w:rPr>
          <w:lang w:val="en-GB"/>
        </w:rPr>
        <w:t>What is the</w:t>
      </w:r>
      <w:r>
        <w:rPr>
          <w:lang w:val="en-GB"/>
        </w:rPr>
        <w:t xml:space="preserve"> most important/</w:t>
      </w:r>
      <w:r w:rsidRPr="003F3F88">
        <w:rPr>
          <w:lang w:val="en-GB"/>
        </w:rPr>
        <w:t>crucial part of</w:t>
      </w:r>
      <w:r>
        <w:rPr>
          <w:lang w:val="en-GB"/>
        </w:rPr>
        <w:t xml:space="preserve"> given standard having the </w:t>
      </w:r>
      <w:r w:rsidRPr="003F3F88">
        <w:rPr>
          <w:lang w:val="en-GB"/>
        </w:rPr>
        <w:t>potential impact on the quality/</w:t>
      </w:r>
      <w:r>
        <w:rPr>
          <w:lang w:val="en-GB"/>
        </w:rPr>
        <w:t>or developing quality culture by</w:t>
      </w:r>
      <w:r w:rsidRPr="003F3F88">
        <w:rPr>
          <w:lang w:val="en-GB"/>
        </w:rPr>
        <w:t xml:space="preserve"> HEI?</w:t>
      </w:r>
    </w:p>
    <w:p w:rsidR="00F754D3" w:rsidRPr="003F3F88" w:rsidRDefault="00F754D3" w:rsidP="00F754D3">
      <w:pPr>
        <w:pStyle w:val="Akapitzlist"/>
        <w:numPr>
          <w:ilvl w:val="0"/>
          <w:numId w:val="5"/>
        </w:numPr>
        <w:jc w:val="both"/>
        <w:rPr>
          <w:lang w:val="en-GB"/>
        </w:rPr>
      </w:pPr>
      <w:r w:rsidRPr="003F3F88">
        <w:rPr>
          <w:lang w:val="en-GB"/>
        </w:rPr>
        <w:t>What are the main obstacles in the i</w:t>
      </w:r>
      <w:r>
        <w:rPr>
          <w:lang w:val="en-GB"/>
        </w:rPr>
        <w:t>mplementation of given standard and why? Are they derived from the content of the standard?</w:t>
      </w:r>
    </w:p>
    <w:p w:rsidR="00F754D3" w:rsidRPr="008201C8" w:rsidRDefault="00F754D3" w:rsidP="00F754D3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3F3F88">
        <w:rPr>
          <w:lang w:val="en-GB"/>
        </w:rPr>
        <w:t xml:space="preserve">What </w:t>
      </w:r>
      <w:r>
        <w:rPr>
          <w:lang w:val="en-GB"/>
        </w:rPr>
        <w:t xml:space="preserve">are the </w:t>
      </w:r>
      <w:r w:rsidRPr="003F3F88">
        <w:rPr>
          <w:lang w:val="en-GB"/>
        </w:rPr>
        <w:t>needs for further interpretation of given standards</w:t>
      </w:r>
      <w:r>
        <w:rPr>
          <w:lang w:val="en-GB"/>
        </w:rPr>
        <w:t xml:space="preserve">?  </w:t>
      </w:r>
      <w:r w:rsidRPr="008201C8">
        <w:rPr>
          <w:lang w:val="en-GB"/>
        </w:rPr>
        <w:t>Which aspect of standards are unclear for HEI and why?</w:t>
      </w:r>
    </w:p>
    <w:p w:rsidR="00F754D3" w:rsidRPr="003F3F88" w:rsidRDefault="00F754D3" w:rsidP="00F754D3">
      <w:pPr>
        <w:pStyle w:val="Akapitzlist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Do you identify any good practice in relation to a given standard? </w:t>
      </w:r>
    </w:p>
    <w:p w:rsidR="0022259E" w:rsidRPr="0022259E" w:rsidRDefault="0022259E" w:rsidP="00F633C1">
      <w:pPr>
        <w:spacing w:after="0" w:line="240" w:lineRule="auto"/>
        <w:jc w:val="both"/>
        <w:rPr>
          <w:rFonts w:eastAsia="Times New Roman" w:cs="Arial"/>
          <w:lang w:val="en-GB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754D3" w:rsidRPr="00334398" w:rsidTr="00334398">
        <w:trPr>
          <w:jc w:val="center"/>
        </w:trPr>
        <w:tc>
          <w:tcPr>
            <w:tcW w:w="4531" w:type="dxa"/>
            <w:shd w:val="clear" w:color="auto" w:fill="DEEAF6" w:themeFill="accent1" w:themeFillTint="33"/>
          </w:tcPr>
          <w:p w:rsidR="00F754D3" w:rsidRPr="00334398" w:rsidRDefault="00334398" w:rsidP="00334398">
            <w:pPr>
              <w:jc w:val="center"/>
              <w:rPr>
                <w:b/>
                <w:lang w:val="en-GB"/>
              </w:rPr>
            </w:pPr>
            <w:r w:rsidRPr="00334398">
              <w:rPr>
                <w:b/>
                <w:lang w:val="en-GB"/>
              </w:rPr>
              <w:t>Output question 1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754D3" w:rsidRPr="00334398" w:rsidRDefault="00334398" w:rsidP="00334398">
            <w:pPr>
              <w:jc w:val="center"/>
              <w:rPr>
                <w:b/>
                <w:lang w:val="en-GB"/>
              </w:rPr>
            </w:pPr>
            <w:r w:rsidRPr="00334398">
              <w:rPr>
                <w:b/>
                <w:lang w:val="en-GB"/>
              </w:rPr>
              <w:t>Output question 2</w:t>
            </w:r>
          </w:p>
        </w:tc>
      </w:tr>
      <w:tr w:rsidR="00F754D3" w:rsidRPr="00334398" w:rsidTr="00334398">
        <w:trPr>
          <w:trHeight w:val="4228"/>
          <w:jc w:val="center"/>
        </w:trPr>
        <w:tc>
          <w:tcPr>
            <w:tcW w:w="4531" w:type="dxa"/>
          </w:tcPr>
          <w:p w:rsidR="00F754D3" w:rsidRPr="00334398" w:rsidRDefault="00F754D3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F754D3" w:rsidRPr="00334398" w:rsidRDefault="00F754D3">
            <w:pPr>
              <w:rPr>
                <w:b/>
                <w:lang w:val="en-GB"/>
              </w:rPr>
            </w:pPr>
          </w:p>
        </w:tc>
      </w:tr>
      <w:tr w:rsidR="00F754D3" w:rsidRPr="00334398" w:rsidTr="00334398">
        <w:trPr>
          <w:jc w:val="center"/>
        </w:trPr>
        <w:tc>
          <w:tcPr>
            <w:tcW w:w="4531" w:type="dxa"/>
            <w:shd w:val="clear" w:color="auto" w:fill="DEEAF6" w:themeFill="accent1" w:themeFillTint="33"/>
          </w:tcPr>
          <w:p w:rsidR="00F754D3" w:rsidRPr="00334398" w:rsidRDefault="00334398" w:rsidP="00334398">
            <w:pPr>
              <w:jc w:val="center"/>
              <w:rPr>
                <w:b/>
                <w:lang w:val="en-GB"/>
              </w:rPr>
            </w:pPr>
            <w:r w:rsidRPr="00334398">
              <w:rPr>
                <w:b/>
                <w:lang w:val="en-GB"/>
              </w:rPr>
              <w:t>Output question 3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754D3" w:rsidRPr="00334398" w:rsidRDefault="00334398" w:rsidP="00334398">
            <w:pPr>
              <w:jc w:val="center"/>
              <w:rPr>
                <w:b/>
                <w:lang w:val="en-GB"/>
              </w:rPr>
            </w:pPr>
            <w:r w:rsidRPr="00334398">
              <w:rPr>
                <w:b/>
                <w:lang w:val="en-GB"/>
              </w:rPr>
              <w:t>Output question 4</w:t>
            </w:r>
          </w:p>
        </w:tc>
      </w:tr>
      <w:tr w:rsidR="00F754D3" w:rsidRPr="00334398" w:rsidTr="00334398">
        <w:trPr>
          <w:trHeight w:val="4954"/>
          <w:jc w:val="center"/>
        </w:trPr>
        <w:tc>
          <w:tcPr>
            <w:tcW w:w="4531" w:type="dxa"/>
          </w:tcPr>
          <w:p w:rsidR="00F754D3" w:rsidRPr="00334398" w:rsidRDefault="00F754D3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F754D3" w:rsidRPr="00334398" w:rsidRDefault="00F754D3">
            <w:pPr>
              <w:rPr>
                <w:b/>
                <w:lang w:val="en-GB"/>
              </w:rPr>
            </w:pPr>
          </w:p>
        </w:tc>
      </w:tr>
    </w:tbl>
    <w:p w:rsidR="00E15C58" w:rsidRDefault="00E15C58">
      <w:pPr>
        <w:rPr>
          <w:lang w:val="en-GB"/>
        </w:rPr>
      </w:pPr>
    </w:p>
    <w:sectPr w:rsidR="00E1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E28"/>
    <w:multiLevelType w:val="hybridMultilevel"/>
    <w:tmpl w:val="8BBA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435"/>
    <w:multiLevelType w:val="multilevel"/>
    <w:tmpl w:val="271CDF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553DB"/>
    <w:multiLevelType w:val="hybridMultilevel"/>
    <w:tmpl w:val="216E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69C9"/>
    <w:multiLevelType w:val="hybridMultilevel"/>
    <w:tmpl w:val="0A7C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7532"/>
    <w:multiLevelType w:val="hybridMultilevel"/>
    <w:tmpl w:val="8722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2033"/>
    <w:multiLevelType w:val="hybridMultilevel"/>
    <w:tmpl w:val="8722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9E"/>
    <w:rsid w:val="000042D9"/>
    <w:rsid w:val="00101DC5"/>
    <w:rsid w:val="001B7FA5"/>
    <w:rsid w:val="0022259E"/>
    <w:rsid w:val="0025778A"/>
    <w:rsid w:val="00272941"/>
    <w:rsid w:val="00292FFB"/>
    <w:rsid w:val="00334398"/>
    <w:rsid w:val="003E6D45"/>
    <w:rsid w:val="003F3F88"/>
    <w:rsid w:val="00450921"/>
    <w:rsid w:val="004D10C2"/>
    <w:rsid w:val="004F7133"/>
    <w:rsid w:val="00554B7F"/>
    <w:rsid w:val="0059366F"/>
    <w:rsid w:val="005A3327"/>
    <w:rsid w:val="006A5920"/>
    <w:rsid w:val="007608B0"/>
    <w:rsid w:val="008076C2"/>
    <w:rsid w:val="00812407"/>
    <w:rsid w:val="008201C8"/>
    <w:rsid w:val="008D161D"/>
    <w:rsid w:val="00965605"/>
    <w:rsid w:val="009E013F"/>
    <w:rsid w:val="00A744A1"/>
    <w:rsid w:val="00A8704B"/>
    <w:rsid w:val="00B26788"/>
    <w:rsid w:val="00B70D22"/>
    <w:rsid w:val="00B73CD6"/>
    <w:rsid w:val="00C11955"/>
    <w:rsid w:val="00D97504"/>
    <w:rsid w:val="00DF2431"/>
    <w:rsid w:val="00E13D1E"/>
    <w:rsid w:val="00E15C58"/>
    <w:rsid w:val="00E541C1"/>
    <w:rsid w:val="00F633C1"/>
    <w:rsid w:val="00F754D3"/>
    <w:rsid w:val="00FA1633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B4AB-F938-4AFE-8366-2072F6C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605"/>
    <w:pPr>
      <w:ind w:left="720"/>
      <w:contextualSpacing/>
    </w:pPr>
  </w:style>
  <w:style w:type="table" w:styleId="Tabela-Siatka">
    <w:name w:val="Table Grid"/>
    <w:basedOn w:val="Standardowy"/>
    <w:uiPriority w:val="39"/>
    <w:rsid w:val="00A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Kwiatkowska-Sujka</dc:creator>
  <cp:keywords/>
  <dc:description/>
  <cp:lastModifiedBy>Izabela Kwiatkowska-Sujka</cp:lastModifiedBy>
  <cp:revision>30</cp:revision>
  <dcterms:created xsi:type="dcterms:W3CDTF">2015-06-03T22:17:00Z</dcterms:created>
  <dcterms:modified xsi:type="dcterms:W3CDTF">2015-06-04T21:56:00Z</dcterms:modified>
</cp:coreProperties>
</file>